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9EF" w14:textId="77777777" w:rsidR="0017272D" w:rsidRPr="0008069F" w:rsidRDefault="0017272D" w:rsidP="0017272D">
      <w:pPr>
        <w:pStyle w:val="Heading1"/>
        <w:spacing w:after="0"/>
        <w:rPr>
          <w:rFonts w:asciiTheme="majorHAnsi" w:hAnsiTheme="majorHAnsi" w:cstheme="majorHAnsi"/>
          <w:b w:val="0"/>
          <w:color w:val="003055" w:themeColor="text1"/>
          <w:sz w:val="20"/>
          <w:szCs w:val="22"/>
        </w:rPr>
      </w:pPr>
      <w:bookmarkStart w:id="0" w:name="_Toc143586611"/>
      <w:r w:rsidRPr="0008069F">
        <w:rPr>
          <w:rFonts w:asciiTheme="majorHAnsi" w:hAnsiTheme="majorHAnsi" w:cstheme="majorHAnsi"/>
          <w:b w:val="0"/>
          <w:color w:val="003055" w:themeColor="text1"/>
          <w:sz w:val="20"/>
          <w:szCs w:val="22"/>
        </w:rPr>
        <w:t>POSITION DESCRIPTION</w:t>
      </w:r>
    </w:p>
    <w:p w14:paraId="2C7EC810" w14:textId="77777777" w:rsidR="00F51C16" w:rsidRPr="0008069F" w:rsidRDefault="00F51C16" w:rsidP="00F51C16">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3055" w:themeColor="text1"/>
          <w:sz w:val="26"/>
          <w:szCs w:val="24"/>
        </w:rPr>
      </w:pPr>
      <w:bookmarkStart w:id="1" w:name="_Toc465846349"/>
      <w:r w:rsidRPr="0008069F">
        <w:rPr>
          <w:rFonts w:ascii="Arial" w:eastAsiaTheme="majorEastAsia" w:hAnsi="Arial" w:cstheme="majorBidi"/>
          <w:b/>
          <w:bCs/>
          <w:caps/>
          <w:color w:val="003055" w:themeColor="text1"/>
          <w:sz w:val="26"/>
          <w:szCs w:val="24"/>
        </w:rPr>
        <w:t>Assistant secretary for MANPOWER AND reserve affairs, DEPARTMENT OF DEFENSE</w:t>
      </w:r>
      <w:bookmarkEnd w:id="1"/>
    </w:p>
    <w:p w14:paraId="16CDD72C" w14:textId="77777777" w:rsidR="00661AE5" w:rsidRPr="00224D1E" w:rsidRDefault="00661AE5" w:rsidP="00661AE5">
      <w:pPr>
        <w:rPr>
          <w:rFonts w:asciiTheme="majorHAnsi" w:hAnsiTheme="majorHAnsi" w:cstheme="majorHAnsi"/>
        </w:rPr>
      </w:pPr>
    </w:p>
    <w:tbl>
      <w:tblPr>
        <w:tblStyle w:val="TableGrid"/>
        <w:tblW w:w="9462" w:type="dxa"/>
        <w:tblInd w:w="-3"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AD30BB" w14:paraId="159BBA0D" w14:textId="77777777" w:rsidTr="56D970F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1C45FCA" w14:textId="77777777" w:rsidR="00B64A22" w:rsidRPr="00AD30BB" w:rsidRDefault="00B64A22" w:rsidP="00B64A22">
            <w:pPr>
              <w:jc w:val="center"/>
              <w:rPr>
                <w:rFonts w:asciiTheme="majorHAnsi" w:hAnsiTheme="majorHAnsi" w:cstheme="majorHAnsi"/>
                <w:b/>
              </w:rPr>
            </w:pPr>
            <w:r w:rsidRPr="00AD30BB">
              <w:rPr>
                <w:rFonts w:asciiTheme="majorHAnsi" w:hAnsiTheme="majorHAnsi" w:cstheme="majorHAnsi"/>
                <w:b/>
              </w:rPr>
              <w:t>OVERVIEW</w:t>
            </w:r>
          </w:p>
        </w:tc>
      </w:tr>
      <w:tr w:rsidR="00F51C16" w:rsidRPr="00AD30BB" w14:paraId="4100F916" w14:textId="77777777" w:rsidTr="56D970F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23D4D55" w14:textId="77777777" w:rsidR="00F51C16" w:rsidRPr="00AD30BB" w:rsidRDefault="00F51C16" w:rsidP="00F51C16">
            <w:pPr>
              <w:contextualSpacing/>
              <w:rPr>
                <w:rFonts w:asciiTheme="majorHAnsi" w:hAnsiTheme="majorHAnsi" w:cstheme="majorHAnsi"/>
              </w:rPr>
            </w:pPr>
            <w:r w:rsidRPr="00AD30BB">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14:paraId="54CC69BA" w14:textId="77777777" w:rsidR="00F51C16" w:rsidRPr="00AD30BB" w:rsidRDefault="00F51C16" w:rsidP="00F51C16">
            <w:pPr>
              <w:contextualSpacing/>
              <w:rPr>
                <w:rFonts w:asciiTheme="majorHAnsi" w:hAnsiTheme="majorHAnsi" w:cstheme="majorHAnsi"/>
              </w:rPr>
            </w:pPr>
            <w:r w:rsidRPr="00AD30BB">
              <w:rPr>
                <w:rFonts w:asciiTheme="majorHAnsi" w:hAnsiTheme="majorHAnsi" w:cstheme="majorHAnsi"/>
              </w:rPr>
              <w:t>Armed Services</w:t>
            </w:r>
          </w:p>
        </w:tc>
      </w:tr>
      <w:tr w:rsidR="00F51C16" w:rsidRPr="00AD30BB" w14:paraId="1B9E23D7" w14:textId="77777777" w:rsidTr="56D970F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D6085C6" w14:textId="77777777" w:rsidR="00F51C16" w:rsidRPr="00AD30BB" w:rsidRDefault="00F51C16" w:rsidP="00F51C16">
            <w:pPr>
              <w:contextualSpacing/>
              <w:rPr>
                <w:rFonts w:asciiTheme="majorHAnsi" w:hAnsiTheme="majorHAnsi" w:cstheme="majorHAnsi"/>
              </w:rPr>
            </w:pPr>
            <w:r w:rsidRPr="00AD30BB">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AF8F364" w14:textId="77777777" w:rsidR="00F51C16" w:rsidRPr="00AD30BB" w:rsidRDefault="00F51C16" w:rsidP="00F51C16">
            <w:pPr>
              <w:contextualSpacing/>
              <w:rPr>
                <w:rFonts w:asciiTheme="majorHAnsi" w:hAnsiTheme="majorHAnsi" w:cstheme="majorHAnsi"/>
              </w:rPr>
            </w:pPr>
            <w:r w:rsidRPr="00AD30BB">
              <w:rPr>
                <w:rFonts w:asciiTheme="majorHAnsi" w:hAnsiTheme="majorHAnsi" w:cstheme="majorHAnsi"/>
                <w:bCs/>
              </w:rPr>
              <w:t>The mission of the Department of Defense is to provide the military forces needed to deter war and to protect the security of our country.</w:t>
            </w:r>
            <w:r w:rsidRPr="00AD30BB">
              <w:rPr>
                <w:rFonts w:asciiTheme="majorHAnsi" w:hAnsiTheme="majorHAnsi" w:cstheme="majorHAnsi"/>
              </w:rPr>
              <w:t xml:space="preserve"> </w:t>
            </w:r>
          </w:p>
        </w:tc>
      </w:tr>
      <w:tr w:rsidR="00F51C16" w:rsidRPr="00AD30BB" w14:paraId="1B06477D" w14:textId="77777777" w:rsidTr="56D970F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CD1A0C9" w14:textId="77777777" w:rsidR="00F51C16" w:rsidRPr="00AD30BB" w:rsidRDefault="00F51C16" w:rsidP="00F51C16">
            <w:pPr>
              <w:contextualSpacing/>
              <w:rPr>
                <w:rFonts w:asciiTheme="majorHAnsi" w:hAnsiTheme="majorHAnsi" w:cstheme="majorHAnsi"/>
              </w:rPr>
            </w:pPr>
            <w:r w:rsidRPr="00AD30BB">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311202E8" w14:textId="75AAD5C3" w:rsidR="00F51C16" w:rsidRPr="00AD30BB" w:rsidRDefault="00F51C16" w:rsidP="00F51C16">
            <w:pPr>
              <w:contextualSpacing/>
              <w:rPr>
                <w:rFonts w:asciiTheme="majorHAnsi" w:hAnsiTheme="majorHAnsi" w:cstheme="majorHAnsi"/>
              </w:rPr>
            </w:pPr>
            <w:r w:rsidRPr="00AD30BB">
              <w:rPr>
                <w:rFonts w:asciiTheme="majorHAnsi" w:hAnsiTheme="majorHAnsi" w:cstheme="majorHAnsi"/>
              </w:rPr>
              <w:t xml:space="preserve">The assistant secretary of </w:t>
            </w:r>
            <w:r w:rsidR="0008069F">
              <w:rPr>
                <w:rFonts w:asciiTheme="majorHAnsi" w:hAnsiTheme="majorHAnsi" w:cstheme="majorHAnsi"/>
              </w:rPr>
              <w:t>d</w:t>
            </w:r>
            <w:r w:rsidRPr="00AD30BB">
              <w:rPr>
                <w:rFonts w:asciiTheme="majorHAnsi" w:hAnsiTheme="majorHAnsi" w:cstheme="majorHAnsi"/>
              </w:rPr>
              <w:t xml:space="preserve">efense for manpower and reserve </w:t>
            </w:r>
            <w:r w:rsidR="0008069F">
              <w:rPr>
                <w:rFonts w:asciiTheme="majorHAnsi" w:hAnsiTheme="majorHAnsi" w:cstheme="majorHAnsi"/>
              </w:rPr>
              <w:t>a</w:t>
            </w:r>
            <w:r w:rsidRPr="00AD30BB">
              <w:rPr>
                <w:rFonts w:asciiTheme="majorHAnsi" w:hAnsiTheme="majorHAnsi" w:cstheme="majorHAnsi"/>
              </w:rPr>
              <w:t xml:space="preserve">ffairs is the principal advisor to the secretary of </w:t>
            </w:r>
            <w:r w:rsidR="0008069F">
              <w:rPr>
                <w:rFonts w:asciiTheme="majorHAnsi" w:hAnsiTheme="majorHAnsi" w:cstheme="majorHAnsi"/>
              </w:rPr>
              <w:t>d</w:t>
            </w:r>
            <w:r w:rsidRPr="00AD30BB">
              <w:rPr>
                <w:rFonts w:asciiTheme="majorHAnsi" w:hAnsiTheme="majorHAnsi" w:cstheme="majorHAnsi"/>
              </w:rPr>
              <w:t xml:space="preserve">efense and the undersecretary of </w:t>
            </w:r>
            <w:r w:rsidR="0008069F">
              <w:rPr>
                <w:rFonts w:asciiTheme="majorHAnsi" w:hAnsiTheme="majorHAnsi" w:cstheme="majorHAnsi"/>
              </w:rPr>
              <w:t>d</w:t>
            </w:r>
            <w:r w:rsidRPr="00AD30BB">
              <w:rPr>
                <w:rFonts w:asciiTheme="majorHAnsi" w:hAnsiTheme="majorHAnsi" w:cstheme="majorHAnsi"/>
              </w:rPr>
              <w:t xml:space="preserve">efense for personnel and readiness on all matters relating to military and civilian personnel policies and programs, military community and family policy, reserve component affairs and integration and total force planning and requirements. The assistant secretary has responsibility for the overall supervision of matters involving the </w:t>
            </w:r>
            <w:r w:rsidR="0008069F">
              <w:rPr>
                <w:rFonts w:asciiTheme="majorHAnsi" w:hAnsiTheme="majorHAnsi" w:cstheme="majorHAnsi"/>
              </w:rPr>
              <w:t>r</w:t>
            </w:r>
            <w:r w:rsidRPr="00AD30BB">
              <w:rPr>
                <w:rFonts w:asciiTheme="majorHAnsi" w:hAnsiTheme="majorHAnsi" w:cstheme="majorHAnsi"/>
              </w:rPr>
              <w:t>eserve components, including the Army National Guard, Army Reserve, Navy Reserve, Marine Corps Reserve, Air National Guard, Air Force Reserve and Coast Guard Reserve. Travel management, family programs, commissary shopping, workforce planning, compensation and reserve component integration are key areas that fall within the manpower and reserve Affairs portfolio.</w:t>
            </w:r>
          </w:p>
        </w:tc>
      </w:tr>
      <w:tr w:rsidR="00F51C16" w:rsidRPr="00AD30BB" w14:paraId="0B849F32" w14:textId="77777777" w:rsidTr="56D970F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AF14BA5" w14:textId="77777777" w:rsidR="00F51C16" w:rsidRPr="00AD30BB" w:rsidRDefault="00F51C16" w:rsidP="00F51C16">
            <w:pPr>
              <w:contextualSpacing/>
              <w:rPr>
                <w:rFonts w:asciiTheme="majorHAnsi" w:hAnsiTheme="majorHAnsi" w:cstheme="majorHAnsi"/>
                <w:i/>
              </w:rPr>
            </w:pPr>
            <w:r w:rsidRPr="00AD30BB">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75EFCC7C" w14:textId="35C62F97" w:rsidR="00F51C16" w:rsidRPr="0008069F" w:rsidRDefault="00DB2000" w:rsidP="00006482">
            <w:pPr>
              <w:rPr>
                <w:sz w:val="24"/>
                <w:szCs w:val="24"/>
              </w:rPr>
            </w:pPr>
            <w:r w:rsidRPr="00AD30BB">
              <w:rPr>
                <w:rFonts w:asciiTheme="majorHAnsi" w:hAnsiTheme="majorHAnsi" w:cstheme="majorHAnsi"/>
                <w:bCs/>
              </w:rPr>
              <w:t xml:space="preserve">Level IV </w:t>
            </w:r>
            <w:r w:rsidR="0008069F">
              <w:rPr>
                <w:rStyle w:val="normaltextrun"/>
                <w:rFonts w:ascii="Arial" w:hAnsi="Arial" w:cs="Arial"/>
                <w:color w:val="000000"/>
                <w:shd w:val="clear" w:color="auto" w:fill="FFFFFF"/>
              </w:rPr>
              <w:t>$</w:t>
            </w:r>
            <w:r w:rsidR="004E7FDC" w:rsidRPr="004E7FDC">
              <w:rPr>
                <w:rStyle w:val="normaltextrun"/>
                <w:rFonts w:ascii="Arial" w:hAnsi="Arial" w:cs="Arial"/>
                <w:color w:val="000000"/>
                <w:shd w:val="clear" w:color="auto" w:fill="FFFFFF"/>
              </w:rPr>
              <w:t>158,500</w:t>
            </w:r>
            <w:r w:rsidR="004E7FDC" w:rsidRPr="004E7FDC">
              <w:rPr>
                <w:rStyle w:val="normaltextrun"/>
                <w:rFonts w:ascii="Arial" w:hAnsi="Arial" w:cs="Arial"/>
                <w:color w:val="000000"/>
                <w:shd w:val="clear" w:color="auto" w:fill="FFFFFF"/>
              </w:rPr>
              <w:t xml:space="preserve"> </w:t>
            </w:r>
            <w:r w:rsidR="00F51C16" w:rsidRPr="00AD30BB">
              <w:rPr>
                <w:rFonts w:asciiTheme="majorHAnsi" w:hAnsiTheme="majorHAnsi" w:cstheme="majorHAnsi"/>
                <w:bCs/>
              </w:rPr>
              <w:t>(5 U.S.C. § 5315)</w:t>
            </w:r>
            <w:r w:rsidRPr="00AD30BB">
              <w:rPr>
                <w:rStyle w:val="EndnoteReference"/>
                <w:rFonts w:asciiTheme="majorHAnsi" w:hAnsiTheme="majorHAnsi" w:cstheme="majorHAnsi"/>
                <w:bCs/>
              </w:rPr>
              <w:endnoteReference w:id="1"/>
            </w:r>
          </w:p>
        </w:tc>
      </w:tr>
      <w:tr w:rsidR="00F51C16" w:rsidRPr="00AD30BB" w14:paraId="13B404EB" w14:textId="77777777" w:rsidTr="56D970F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9DBF53C" w14:textId="77777777" w:rsidR="00F51C16" w:rsidRPr="00AD30BB" w:rsidRDefault="00F51C16" w:rsidP="00F51C16">
            <w:pPr>
              <w:contextualSpacing/>
              <w:rPr>
                <w:rFonts w:asciiTheme="majorHAnsi" w:hAnsiTheme="majorHAnsi" w:cstheme="majorHAnsi"/>
              </w:rPr>
            </w:pPr>
            <w:r w:rsidRPr="00AD30BB">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065C0838" w14:textId="77777777" w:rsidR="00F51C16" w:rsidRPr="00AD30BB" w:rsidRDefault="00CF5421" w:rsidP="00F51C16">
            <w:pPr>
              <w:contextualSpacing/>
              <w:rPr>
                <w:rFonts w:asciiTheme="majorHAnsi" w:hAnsiTheme="majorHAnsi" w:cstheme="majorHAnsi"/>
              </w:rPr>
            </w:pPr>
            <w:r>
              <w:rPr>
                <w:rFonts w:asciiTheme="majorHAnsi" w:hAnsiTheme="majorHAnsi" w:cstheme="majorHAnsi"/>
              </w:rPr>
              <w:t>Unders</w:t>
            </w:r>
            <w:r w:rsidR="00F51C16" w:rsidRPr="00AD30BB">
              <w:rPr>
                <w:rFonts w:asciiTheme="majorHAnsi" w:hAnsiTheme="majorHAnsi" w:cstheme="majorHAnsi"/>
              </w:rPr>
              <w:t>ecretary of Defense for Personnel and Readiness</w:t>
            </w:r>
          </w:p>
        </w:tc>
      </w:tr>
      <w:tr w:rsidR="00684398" w:rsidRPr="00AD30BB" w14:paraId="74689352" w14:textId="77777777" w:rsidTr="56D970F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C2D642A" w14:textId="77777777" w:rsidR="00684398" w:rsidRPr="00AD30BB" w:rsidRDefault="00684398" w:rsidP="00684398">
            <w:pPr>
              <w:jc w:val="center"/>
              <w:rPr>
                <w:rFonts w:asciiTheme="majorHAnsi" w:hAnsiTheme="majorHAnsi" w:cstheme="majorHAnsi"/>
                <w:b/>
              </w:rPr>
            </w:pPr>
            <w:r w:rsidRPr="00AD30BB">
              <w:rPr>
                <w:rFonts w:asciiTheme="majorHAnsi" w:hAnsiTheme="majorHAnsi" w:cstheme="majorHAnsi"/>
                <w:b/>
              </w:rPr>
              <w:t>RESPONSIBILITIES</w:t>
            </w:r>
          </w:p>
        </w:tc>
      </w:tr>
      <w:tr w:rsidR="00F51C16" w:rsidRPr="00AD30BB" w14:paraId="270D11E5" w14:textId="77777777" w:rsidTr="56D970F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AE89890" w14:textId="77777777" w:rsidR="00F51C16" w:rsidRPr="00AD30BB" w:rsidRDefault="00F51C16" w:rsidP="00F51C16">
            <w:pPr>
              <w:contextualSpacing/>
              <w:rPr>
                <w:rFonts w:asciiTheme="majorHAnsi" w:hAnsiTheme="majorHAnsi" w:cstheme="majorHAnsi"/>
              </w:rPr>
            </w:pPr>
            <w:r w:rsidRPr="00AD30BB">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7831BC2D" w14:textId="1FEEE392" w:rsidR="00F51C16" w:rsidRPr="00AD30BB" w:rsidRDefault="00AD30BB" w:rsidP="45526A66">
            <w:pPr>
              <w:rPr>
                <w:rFonts w:asciiTheme="majorHAnsi" w:hAnsiTheme="majorHAnsi" w:cstheme="majorBidi"/>
              </w:rPr>
            </w:pPr>
            <w:r w:rsidRPr="45526A66">
              <w:rPr>
                <w:rFonts w:asciiTheme="majorHAnsi" w:hAnsiTheme="majorHAnsi" w:cstheme="majorBidi"/>
              </w:rPr>
              <w:t>The DOD budget was approximately $</w:t>
            </w:r>
            <w:r w:rsidR="51B93E66" w:rsidRPr="45526A66">
              <w:rPr>
                <w:rFonts w:asciiTheme="majorHAnsi" w:hAnsiTheme="majorHAnsi" w:cstheme="majorBidi"/>
              </w:rPr>
              <w:t>718.3</w:t>
            </w:r>
            <w:r w:rsidRPr="45526A66">
              <w:rPr>
                <w:rFonts w:asciiTheme="majorHAnsi" w:hAnsiTheme="majorHAnsi" w:cstheme="majorBidi"/>
              </w:rPr>
              <w:t xml:space="preserve"> billion for fiscal 20</w:t>
            </w:r>
            <w:r w:rsidR="436A4914" w:rsidRPr="45526A66">
              <w:rPr>
                <w:rFonts w:asciiTheme="majorHAnsi" w:hAnsiTheme="majorHAnsi" w:cstheme="majorBidi"/>
              </w:rPr>
              <w:t>20</w:t>
            </w:r>
            <w:r w:rsidRPr="45526A66">
              <w:rPr>
                <w:rFonts w:asciiTheme="majorHAnsi" w:hAnsiTheme="majorHAnsi" w:cstheme="majorBidi"/>
              </w:rPr>
              <w:t>. The assistant secretary of d</w:t>
            </w:r>
            <w:r w:rsidR="00F51C16" w:rsidRPr="45526A66">
              <w:rPr>
                <w:rFonts w:asciiTheme="majorHAnsi" w:hAnsiTheme="majorHAnsi" w:cstheme="majorBidi"/>
              </w:rPr>
              <w:t xml:space="preserve">efense for manpower and reserve affairs leads the Office of Manpower and Reserve Affairs. With eight organizations supported by nearly 27,000 personnel spanning three locations, the department supports the total force by planning, directing, coordinating and supervising </w:t>
            </w:r>
            <w:r w:rsidRPr="45526A66">
              <w:rPr>
                <w:rFonts w:asciiTheme="majorHAnsi" w:hAnsiTheme="majorHAnsi" w:cstheme="majorBidi"/>
              </w:rPr>
              <w:t>the more than 2.1 million active and reserve service members and 742,000 civilian personnel.</w:t>
            </w:r>
          </w:p>
        </w:tc>
      </w:tr>
      <w:tr w:rsidR="00F51C16" w:rsidRPr="00AD30BB" w14:paraId="616ADB94" w14:textId="77777777" w:rsidTr="56D970F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B74484C" w14:textId="77777777" w:rsidR="00F51C16" w:rsidRPr="00AD30BB" w:rsidRDefault="00F51C16" w:rsidP="00F51C16">
            <w:pPr>
              <w:contextualSpacing/>
              <w:rPr>
                <w:rFonts w:asciiTheme="majorHAnsi" w:hAnsiTheme="majorHAnsi" w:cstheme="majorHAnsi"/>
              </w:rPr>
            </w:pPr>
            <w:r w:rsidRPr="00AD30BB">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770657BC" w14:textId="77777777" w:rsidR="00F51C16" w:rsidRPr="00AD30BB" w:rsidRDefault="00F51C16" w:rsidP="00F51C16">
            <w:pPr>
              <w:numPr>
                <w:ilvl w:val="0"/>
                <w:numId w:val="39"/>
              </w:numPr>
              <w:ind w:left="438"/>
              <w:contextualSpacing/>
              <w:rPr>
                <w:rFonts w:asciiTheme="majorHAnsi" w:eastAsia="Calibri" w:hAnsiTheme="majorHAnsi" w:cstheme="majorHAnsi"/>
              </w:rPr>
            </w:pPr>
            <w:r w:rsidRPr="00AD30BB">
              <w:rPr>
                <w:rFonts w:asciiTheme="majorHAnsi" w:eastAsia="Calibri" w:hAnsiTheme="majorHAnsi" w:cstheme="majorHAnsi"/>
              </w:rPr>
              <w:t>Ensures the development and delivery of all personnel policy, both civilian and military and implements human resource solutions that support the Total Force and mission readiness.</w:t>
            </w:r>
          </w:p>
          <w:p w14:paraId="4960B61E" w14:textId="77777777" w:rsidR="00F51C16" w:rsidRPr="00AD30BB" w:rsidRDefault="00F51C16" w:rsidP="00F51C16">
            <w:pPr>
              <w:numPr>
                <w:ilvl w:val="0"/>
                <w:numId w:val="39"/>
              </w:numPr>
              <w:ind w:left="438"/>
              <w:contextualSpacing/>
              <w:rPr>
                <w:rFonts w:asciiTheme="majorHAnsi" w:eastAsia="Calibri" w:hAnsiTheme="majorHAnsi" w:cstheme="majorHAnsi"/>
              </w:rPr>
            </w:pPr>
            <w:r w:rsidRPr="00AD30BB">
              <w:rPr>
                <w:rFonts w:asciiTheme="majorHAnsi" w:eastAsia="Calibri" w:hAnsiTheme="majorHAnsi" w:cstheme="majorHAnsi"/>
              </w:rPr>
              <w:t>Delivers credible advice and information proactively about the capabilities of the reserve components and develops the policies and resources necessary to fully exploit those capabilities.</w:t>
            </w:r>
          </w:p>
          <w:p w14:paraId="1E376941" w14:textId="77777777" w:rsidR="00F51C16" w:rsidRPr="00AD30BB" w:rsidRDefault="00F51C16" w:rsidP="00F51C16">
            <w:pPr>
              <w:numPr>
                <w:ilvl w:val="0"/>
                <w:numId w:val="39"/>
              </w:numPr>
              <w:ind w:left="438"/>
              <w:contextualSpacing/>
              <w:rPr>
                <w:rFonts w:asciiTheme="majorHAnsi" w:eastAsia="Calibri" w:hAnsiTheme="majorHAnsi" w:cstheme="majorHAnsi"/>
              </w:rPr>
            </w:pPr>
            <w:r w:rsidRPr="00AD30BB">
              <w:rPr>
                <w:rFonts w:asciiTheme="majorHAnsi" w:eastAsia="Calibri" w:hAnsiTheme="majorHAnsi" w:cstheme="majorHAnsi"/>
              </w:rPr>
              <w:t>Develops policies and legislation to ensure operational and strategic reserve components that are seamlessly integrated with the total force supporting national security at home and abroad.</w:t>
            </w:r>
          </w:p>
          <w:p w14:paraId="4ECD999C" w14:textId="77777777" w:rsidR="00F51C16" w:rsidRPr="00AD30BB" w:rsidRDefault="00F51C16" w:rsidP="00F51C16">
            <w:pPr>
              <w:numPr>
                <w:ilvl w:val="0"/>
                <w:numId w:val="39"/>
              </w:numPr>
              <w:ind w:left="438"/>
              <w:contextualSpacing/>
              <w:rPr>
                <w:rFonts w:asciiTheme="majorHAnsi" w:eastAsia="Calibri" w:hAnsiTheme="majorHAnsi" w:cstheme="majorHAnsi"/>
              </w:rPr>
            </w:pPr>
            <w:r w:rsidRPr="00AD30BB">
              <w:rPr>
                <w:rFonts w:asciiTheme="majorHAnsi" w:eastAsia="Calibri" w:hAnsiTheme="majorHAnsi" w:cstheme="majorHAnsi"/>
              </w:rPr>
              <w:lastRenderedPageBreak/>
              <w:t>Oversees the operations of the Department of Defense education activity, the Defense Commissary Agency and the Armed Forces retirement home and provides policy oversight of the Office of Family and Employer Programs and Policy.</w:t>
            </w:r>
          </w:p>
          <w:p w14:paraId="408ADBF3" w14:textId="4FBB19C6" w:rsidR="00F51C16" w:rsidRPr="00AD30BB" w:rsidRDefault="00F51C16" w:rsidP="00F51C16">
            <w:pPr>
              <w:numPr>
                <w:ilvl w:val="0"/>
                <w:numId w:val="39"/>
              </w:numPr>
              <w:ind w:left="438"/>
              <w:contextualSpacing/>
              <w:rPr>
                <w:rFonts w:asciiTheme="majorHAnsi" w:eastAsia="Calibri" w:hAnsiTheme="majorHAnsi" w:cstheme="majorHAnsi"/>
              </w:rPr>
            </w:pPr>
            <w:r w:rsidRPr="00AD30BB">
              <w:rPr>
                <w:rFonts w:asciiTheme="majorHAnsi" w:eastAsia="Calibri" w:hAnsiTheme="majorHAnsi" w:cstheme="majorHAnsi"/>
              </w:rPr>
              <w:t xml:space="preserve">Engages Congress on issues impacting the manpower and reserve </w:t>
            </w:r>
            <w:r w:rsidR="00910867">
              <w:rPr>
                <w:rFonts w:asciiTheme="majorHAnsi" w:eastAsia="Calibri" w:hAnsiTheme="majorHAnsi" w:cstheme="majorHAnsi"/>
              </w:rPr>
              <w:t>a</w:t>
            </w:r>
            <w:r w:rsidRPr="00AD30BB">
              <w:rPr>
                <w:rFonts w:asciiTheme="majorHAnsi" w:eastAsia="Calibri" w:hAnsiTheme="majorHAnsi" w:cstheme="majorHAnsi"/>
              </w:rPr>
              <w:t xml:space="preserve">ffairs portfolio, responds to congressional inquiries and meets with members of Congress and professional staff members of key </w:t>
            </w:r>
            <w:r w:rsidR="00910867">
              <w:rPr>
                <w:rFonts w:asciiTheme="majorHAnsi" w:eastAsia="Calibri" w:hAnsiTheme="majorHAnsi" w:cstheme="majorHAnsi"/>
              </w:rPr>
              <w:t>d</w:t>
            </w:r>
            <w:r w:rsidRPr="00AD30BB">
              <w:rPr>
                <w:rFonts w:asciiTheme="majorHAnsi" w:eastAsia="Calibri" w:hAnsiTheme="majorHAnsi" w:cstheme="majorHAnsi"/>
              </w:rPr>
              <w:t>efense committees on a regular basis to address major issues impacting total force.</w:t>
            </w:r>
          </w:p>
          <w:p w14:paraId="2A24D0CC" w14:textId="77777777" w:rsidR="00F51C16" w:rsidRPr="00AD30BB" w:rsidRDefault="00F51C16" w:rsidP="00F51C16">
            <w:pPr>
              <w:numPr>
                <w:ilvl w:val="0"/>
                <w:numId w:val="39"/>
              </w:numPr>
              <w:ind w:left="438"/>
              <w:contextualSpacing/>
              <w:rPr>
                <w:rFonts w:asciiTheme="majorHAnsi" w:eastAsia="Calibri" w:hAnsiTheme="majorHAnsi" w:cstheme="majorHAnsi"/>
              </w:rPr>
            </w:pPr>
            <w:r w:rsidRPr="00AD30BB">
              <w:rPr>
                <w:rFonts w:asciiTheme="majorHAnsi" w:eastAsia="Calibri" w:hAnsiTheme="majorHAnsi" w:cstheme="majorHAnsi"/>
              </w:rPr>
              <w:t>Provides relevant and timely policy, as well as procedural updates to Congress, the military service leadership, Defense department policy influencers, service members, civilians, their families, veterans, service providers and volunteers.</w:t>
            </w:r>
          </w:p>
        </w:tc>
      </w:tr>
      <w:tr w:rsidR="00F51C16" w:rsidRPr="00AD30BB" w14:paraId="15830690" w14:textId="77777777" w:rsidTr="56D970F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B76A2D1" w14:textId="77777777" w:rsidR="00F51C16" w:rsidRPr="00AD30BB" w:rsidRDefault="00F51C16" w:rsidP="00F51C16">
            <w:pPr>
              <w:rPr>
                <w:rFonts w:asciiTheme="majorHAnsi" w:hAnsiTheme="majorHAnsi" w:cstheme="majorHAnsi"/>
              </w:rPr>
            </w:pPr>
            <w:r w:rsidRPr="00AD30BB">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7235D03F" w14:textId="22E004F4" w:rsidR="00F51C16" w:rsidRPr="00AD30BB" w:rsidRDefault="00910867" w:rsidP="001C6049">
            <w:pPr>
              <w:contextualSpacing/>
              <w:jc w:val="center"/>
              <w:rPr>
                <w:rFonts w:asciiTheme="majorHAnsi" w:hAnsiTheme="majorHAnsi" w:cstheme="majorHAnsi"/>
              </w:rPr>
            </w:pPr>
            <w:r>
              <w:rPr>
                <w:rFonts w:asciiTheme="majorHAnsi" w:hAnsiTheme="majorHAnsi" w:cstheme="majorHAnsi"/>
              </w:rPr>
              <w:t>[</w:t>
            </w:r>
            <w:r w:rsidR="00F51C16" w:rsidRPr="00AD30BB">
              <w:rPr>
                <w:rFonts w:asciiTheme="majorHAnsi" w:hAnsiTheme="majorHAnsi" w:cstheme="majorHAnsi"/>
              </w:rPr>
              <w:t>Depends on the policy priorities of the administration</w:t>
            </w:r>
            <w:r>
              <w:rPr>
                <w:rFonts w:asciiTheme="majorHAnsi" w:hAnsiTheme="majorHAnsi" w:cstheme="majorHAnsi"/>
              </w:rPr>
              <w:t>.]</w:t>
            </w:r>
          </w:p>
        </w:tc>
      </w:tr>
      <w:tr w:rsidR="00684398" w:rsidRPr="00AD30BB" w14:paraId="26BB94F4" w14:textId="77777777" w:rsidTr="56D970F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E9F7796" w14:textId="77777777" w:rsidR="00684398" w:rsidRPr="00AD30BB" w:rsidRDefault="00684398" w:rsidP="00684398">
            <w:pPr>
              <w:jc w:val="center"/>
              <w:rPr>
                <w:rFonts w:asciiTheme="majorHAnsi" w:hAnsiTheme="majorHAnsi" w:cstheme="majorHAnsi"/>
                <w:b/>
              </w:rPr>
            </w:pPr>
            <w:r w:rsidRPr="00AD30BB">
              <w:rPr>
                <w:rFonts w:asciiTheme="majorHAnsi" w:hAnsiTheme="majorHAnsi" w:cstheme="majorHAnsi"/>
                <w:b/>
              </w:rPr>
              <w:t>REQUIREMENTS AND COMPETENCIES</w:t>
            </w:r>
          </w:p>
        </w:tc>
      </w:tr>
      <w:tr w:rsidR="00F51C16" w:rsidRPr="00AD30BB" w14:paraId="1AD66322" w14:textId="77777777" w:rsidTr="56D970F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4E17DB" w14:textId="77777777" w:rsidR="00F51C16" w:rsidRPr="00AD30BB" w:rsidRDefault="00F51C16" w:rsidP="00F51C16">
            <w:pPr>
              <w:contextualSpacing/>
              <w:rPr>
                <w:rFonts w:asciiTheme="majorHAnsi" w:hAnsiTheme="majorHAnsi" w:cstheme="majorHAnsi"/>
              </w:rPr>
            </w:pPr>
            <w:r w:rsidRPr="00AD30BB">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1FF5DD6A" w14:textId="59665CBE" w:rsidR="00F51C16" w:rsidRPr="00AD30BB" w:rsidRDefault="00F51C16" w:rsidP="56D970F1">
            <w:pPr>
              <w:numPr>
                <w:ilvl w:val="0"/>
                <w:numId w:val="39"/>
              </w:numPr>
              <w:ind w:left="438"/>
              <w:contextualSpacing/>
              <w:rPr>
                <w:rFonts w:asciiTheme="majorHAnsi" w:eastAsia="Calibri" w:hAnsiTheme="majorHAnsi" w:cstheme="majorBidi"/>
              </w:rPr>
            </w:pPr>
            <w:r w:rsidRPr="56D970F1">
              <w:rPr>
                <w:rFonts w:asciiTheme="majorHAnsi" w:eastAsia="Calibri" w:hAnsiTheme="majorHAnsi" w:cstheme="majorBidi"/>
              </w:rPr>
              <w:t>Effective communications skills</w:t>
            </w:r>
            <w:r w:rsidR="4DD95FFA" w:rsidRPr="56D970F1">
              <w:rPr>
                <w:rFonts w:asciiTheme="majorHAnsi" w:eastAsia="Calibri" w:hAnsiTheme="majorHAnsi" w:cstheme="majorBidi"/>
              </w:rPr>
              <w:t>.</w:t>
            </w:r>
          </w:p>
          <w:p w14:paraId="363BEF78" w14:textId="6EC5C681" w:rsidR="00F51C16" w:rsidRPr="00AD30BB" w:rsidRDefault="00F51C16" w:rsidP="56D970F1">
            <w:pPr>
              <w:numPr>
                <w:ilvl w:val="0"/>
                <w:numId w:val="39"/>
              </w:numPr>
              <w:ind w:left="438"/>
              <w:contextualSpacing/>
              <w:rPr>
                <w:rFonts w:asciiTheme="majorHAnsi" w:eastAsia="Calibri" w:hAnsiTheme="majorHAnsi" w:cstheme="majorBidi"/>
              </w:rPr>
            </w:pPr>
            <w:r w:rsidRPr="56D970F1">
              <w:rPr>
                <w:rFonts w:asciiTheme="majorHAnsi" w:eastAsia="Calibri" w:hAnsiTheme="majorHAnsi" w:cstheme="majorBidi"/>
              </w:rPr>
              <w:t>Exceptional leadership and business skills</w:t>
            </w:r>
            <w:r w:rsidR="4DD95FFA" w:rsidRPr="56D970F1">
              <w:rPr>
                <w:rFonts w:asciiTheme="majorHAnsi" w:eastAsia="Calibri" w:hAnsiTheme="majorHAnsi" w:cstheme="majorBidi"/>
              </w:rPr>
              <w:t>.</w:t>
            </w:r>
          </w:p>
          <w:p w14:paraId="345E9EC5" w14:textId="25414D1F" w:rsidR="00F51C16" w:rsidRPr="00AD30BB" w:rsidRDefault="00F51C16" w:rsidP="56D970F1">
            <w:pPr>
              <w:numPr>
                <w:ilvl w:val="0"/>
                <w:numId w:val="39"/>
              </w:numPr>
              <w:ind w:left="438"/>
              <w:contextualSpacing/>
              <w:rPr>
                <w:rFonts w:asciiTheme="majorHAnsi" w:eastAsia="Calibri" w:hAnsiTheme="majorHAnsi" w:cstheme="majorBidi"/>
              </w:rPr>
            </w:pPr>
            <w:r w:rsidRPr="56D970F1">
              <w:rPr>
                <w:rFonts w:asciiTheme="majorHAnsi" w:eastAsia="Calibri" w:hAnsiTheme="majorHAnsi" w:cstheme="majorBidi"/>
              </w:rPr>
              <w:t>An understanding of interagency relationships in the community</w:t>
            </w:r>
            <w:r w:rsidR="7687B4E2" w:rsidRPr="56D970F1">
              <w:rPr>
                <w:rFonts w:asciiTheme="majorHAnsi" w:eastAsia="Calibri" w:hAnsiTheme="majorHAnsi" w:cstheme="majorBidi"/>
              </w:rPr>
              <w:t>.</w:t>
            </w:r>
          </w:p>
          <w:p w14:paraId="2CFDACAE" w14:textId="7D89B57A" w:rsidR="00F51C16" w:rsidRPr="00AD30BB" w:rsidRDefault="00F51C16" w:rsidP="56D970F1">
            <w:pPr>
              <w:numPr>
                <w:ilvl w:val="0"/>
                <w:numId w:val="39"/>
              </w:numPr>
              <w:ind w:left="438"/>
              <w:contextualSpacing/>
              <w:rPr>
                <w:rFonts w:asciiTheme="majorHAnsi" w:eastAsia="Calibri" w:hAnsiTheme="majorHAnsi" w:cstheme="majorBidi"/>
              </w:rPr>
            </w:pPr>
            <w:r w:rsidRPr="56D970F1">
              <w:rPr>
                <w:rFonts w:asciiTheme="majorHAnsi" w:eastAsia="Calibri" w:hAnsiTheme="majorHAnsi" w:cstheme="majorBidi"/>
              </w:rPr>
              <w:t>Experience interacting with senior military leaders and a background in defense would be beneficial</w:t>
            </w:r>
            <w:r w:rsidR="6D94508B" w:rsidRPr="56D970F1">
              <w:rPr>
                <w:rFonts w:asciiTheme="majorHAnsi" w:eastAsia="Calibri" w:hAnsiTheme="majorHAnsi" w:cstheme="majorBidi"/>
              </w:rPr>
              <w:t>.</w:t>
            </w:r>
          </w:p>
        </w:tc>
      </w:tr>
      <w:tr w:rsidR="00F51C16" w:rsidRPr="00AD30BB" w14:paraId="74778E4F" w14:textId="77777777" w:rsidTr="56D970F1">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DA5D39D" w14:textId="77777777" w:rsidR="00F51C16" w:rsidRPr="00AD30BB" w:rsidRDefault="00F51C16" w:rsidP="00F51C16">
            <w:pPr>
              <w:contextualSpacing/>
              <w:rPr>
                <w:rFonts w:asciiTheme="majorHAnsi" w:hAnsiTheme="majorHAnsi" w:cstheme="majorHAnsi"/>
              </w:rPr>
            </w:pPr>
            <w:r w:rsidRPr="00AD30BB">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4DB3F3B8" w14:textId="77777777" w:rsidR="00F51C16" w:rsidRPr="00AD30BB" w:rsidRDefault="00F51C16" w:rsidP="00F51C16">
            <w:pPr>
              <w:numPr>
                <w:ilvl w:val="0"/>
                <w:numId w:val="39"/>
              </w:numPr>
              <w:ind w:left="438"/>
              <w:contextualSpacing/>
              <w:rPr>
                <w:rFonts w:asciiTheme="majorHAnsi" w:eastAsia="Calibri" w:hAnsiTheme="majorHAnsi" w:cstheme="majorHAnsi"/>
              </w:rPr>
            </w:pPr>
            <w:r w:rsidRPr="00AD30BB">
              <w:rPr>
                <w:rFonts w:asciiTheme="majorHAnsi" w:eastAsia="Calibri" w:hAnsiTheme="majorHAnsi" w:cstheme="majorHAnsi"/>
                <w:i/>
              </w:rPr>
              <w:t>Collaboration &amp; Influencing</w:t>
            </w:r>
            <w:r w:rsidRPr="00AD30BB">
              <w:rPr>
                <w:rFonts w:asciiTheme="majorHAnsi" w:eastAsia="Calibri" w:hAnsiTheme="majorHAnsi" w:cstheme="majorHAnsi"/>
              </w:rPr>
              <w:t xml:space="preserve">: Works effectively with peers, partners and others who are not in the line of command.  </w:t>
            </w:r>
          </w:p>
          <w:p w14:paraId="0B99B0D7" w14:textId="77777777" w:rsidR="00F51C16" w:rsidRPr="00AD30BB" w:rsidRDefault="00F51C16" w:rsidP="00F51C16">
            <w:pPr>
              <w:numPr>
                <w:ilvl w:val="0"/>
                <w:numId w:val="39"/>
              </w:numPr>
              <w:ind w:left="438"/>
              <w:contextualSpacing/>
              <w:rPr>
                <w:rFonts w:asciiTheme="majorHAnsi" w:eastAsia="Calibri" w:hAnsiTheme="majorHAnsi" w:cstheme="majorHAnsi"/>
              </w:rPr>
            </w:pPr>
            <w:r w:rsidRPr="00AD30BB">
              <w:rPr>
                <w:rFonts w:asciiTheme="majorHAnsi" w:eastAsia="Calibri" w:hAnsiTheme="majorHAnsi" w:cstheme="majorHAnsi"/>
                <w:i/>
              </w:rPr>
              <w:t>Strategic Orientation</w:t>
            </w:r>
            <w:r w:rsidRPr="00AD30BB">
              <w:rPr>
                <w:rFonts w:asciiTheme="majorHAnsi" w:eastAsia="Calibri" w:hAnsiTheme="majorHAnsi" w:cstheme="majorHAnsi"/>
              </w:rPr>
              <w:t xml:space="preserve">:  Demonstrates complex thinking abilities, incorporating both analytical and conceptual abilities to manage and develop plans and strategies.  </w:t>
            </w:r>
          </w:p>
          <w:p w14:paraId="2221D72A" w14:textId="77777777" w:rsidR="00F51C16" w:rsidRPr="00AD30BB" w:rsidRDefault="00F51C16" w:rsidP="00F51C16">
            <w:pPr>
              <w:numPr>
                <w:ilvl w:val="0"/>
                <w:numId w:val="39"/>
              </w:numPr>
              <w:ind w:left="438"/>
              <w:contextualSpacing/>
              <w:rPr>
                <w:rFonts w:asciiTheme="majorHAnsi" w:eastAsia="Calibri" w:hAnsiTheme="majorHAnsi" w:cstheme="majorHAnsi"/>
              </w:rPr>
            </w:pPr>
            <w:r w:rsidRPr="00AD30BB">
              <w:rPr>
                <w:rFonts w:asciiTheme="majorHAnsi" w:eastAsia="Calibri" w:hAnsiTheme="majorHAnsi" w:cstheme="majorHAnsi"/>
                <w:i/>
              </w:rPr>
              <w:t>Results Orientation</w:t>
            </w:r>
            <w:r w:rsidRPr="00AD30BB">
              <w:rPr>
                <w:rFonts w:asciiTheme="majorHAnsi" w:eastAsia="Calibri" w:hAnsiTheme="majorHAnsi" w:cstheme="majorHAnsi"/>
              </w:rPr>
              <w:t>: Drives for improvement of results, as demonstrated by a track record of substantially enhancing the performance of the organization under this individual’s leadership. Sets appropriate metrics and tracks progress and results in line with the administration’s policy objectives.</w:t>
            </w:r>
          </w:p>
          <w:p w14:paraId="07481C6F" w14:textId="037966E1" w:rsidR="00877C4D" w:rsidRPr="00877C4D" w:rsidRDefault="00F51C16" w:rsidP="00877C4D">
            <w:pPr>
              <w:numPr>
                <w:ilvl w:val="0"/>
                <w:numId w:val="39"/>
              </w:numPr>
              <w:ind w:left="438"/>
              <w:contextualSpacing/>
              <w:rPr>
                <w:rFonts w:asciiTheme="majorHAnsi" w:eastAsia="Calibri" w:hAnsiTheme="majorHAnsi" w:cstheme="majorHAnsi"/>
                <w:i/>
              </w:rPr>
            </w:pPr>
            <w:r w:rsidRPr="00AD30BB">
              <w:rPr>
                <w:rFonts w:asciiTheme="majorHAnsi" w:eastAsia="Calibri" w:hAnsiTheme="majorHAnsi" w:cstheme="majorHAnsi"/>
                <w:i/>
              </w:rPr>
              <w:t>Team Leadership</w:t>
            </w:r>
            <w:r w:rsidRPr="00AD30BB">
              <w:rPr>
                <w:rFonts w:asciiTheme="majorHAnsi" w:eastAsia="Calibri" w:hAnsiTheme="majorHAnsi" w:cstheme="majorHAnsi"/>
              </w:rPr>
              <w:t xml:space="preserve">: Inspires teams to achieve excellence by attracting and developing exceptional talent in the organization. Fosters an environment of openness, respect and desire for achievement. </w:t>
            </w:r>
          </w:p>
        </w:tc>
      </w:tr>
      <w:tr w:rsidR="00684398" w:rsidRPr="00AD30BB" w14:paraId="4B5FE3A5" w14:textId="77777777" w:rsidTr="56D970F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99B718C" w14:textId="77777777" w:rsidR="00684398" w:rsidRPr="00AD30BB" w:rsidRDefault="00684398" w:rsidP="00684398">
            <w:pPr>
              <w:jc w:val="center"/>
              <w:rPr>
                <w:rFonts w:asciiTheme="majorHAnsi" w:hAnsiTheme="majorHAnsi" w:cstheme="majorHAnsi"/>
                <w:b/>
              </w:rPr>
            </w:pPr>
            <w:r w:rsidRPr="00AD30BB">
              <w:rPr>
                <w:rFonts w:asciiTheme="majorHAnsi" w:hAnsiTheme="majorHAnsi" w:cstheme="majorHAnsi"/>
                <w:b/>
              </w:rPr>
              <w:t>PAST APPOINTEES</w:t>
            </w:r>
          </w:p>
        </w:tc>
      </w:tr>
    </w:tbl>
    <w:tbl>
      <w:tblPr>
        <w:tblStyle w:val="ClutchTable1"/>
        <w:tblW w:w="0" w:type="auto"/>
        <w:tblInd w:w="-3" w:type="dxa"/>
        <w:tblCellMar>
          <w:top w:w="58" w:type="dxa"/>
          <w:left w:w="115" w:type="dxa"/>
          <w:bottom w:w="58" w:type="dxa"/>
          <w:right w:w="115" w:type="dxa"/>
        </w:tblCellMar>
        <w:tblLook w:val="04A0" w:firstRow="1" w:lastRow="0" w:firstColumn="1" w:lastColumn="0" w:noHBand="0" w:noVBand="1"/>
      </w:tblPr>
      <w:tblGrid>
        <w:gridCol w:w="9450"/>
      </w:tblGrid>
      <w:tr w:rsidR="00910867" w:rsidRPr="00F41CDF" w14:paraId="4DF80F7E" w14:textId="77777777" w:rsidTr="56D970F1">
        <w:tc>
          <w:tcPr>
            <w:tcW w:w="9450" w:type="dxa"/>
            <w:tcBorders>
              <w:top w:val="single" w:sz="2" w:space="0" w:color="auto"/>
              <w:left w:val="single" w:sz="2" w:space="0" w:color="auto"/>
              <w:bottom w:val="single" w:sz="2" w:space="0" w:color="auto"/>
              <w:right w:val="single" w:sz="2" w:space="0" w:color="auto"/>
            </w:tcBorders>
          </w:tcPr>
          <w:p w14:paraId="5DF653C2" w14:textId="785D5273" w:rsidR="00910867" w:rsidRPr="00BD467A" w:rsidRDefault="00910867" w:rsidP="56D970F1">
            <w:pPr>
              <w:contextualSpacing/>
              <w:rPr>
                <w:rFonts w:asciiTheme="majorHAnsi" w:hAnsiTheme="majorHAnsi" w:cstheme="majorBidi"/>
              </w:rPr>
            </w:pPr>
            <w:r w:rsidRPr="56D970F1">
              <w:rPr>
                <w:rFonts w:asciiTheme="majorHAnsi" w:hAnsiTheme="majorHAnsi" w:cstheme="majorBidi"/>
              </w:rPr>
              <w:t>James Stewart (2018</w:t>
            </w:r>
            <w:r w:rsidR="00840A75" w:rsidRPr="56D970F1">
              <w:rPr>
                <w:rFonts w:asciiTheme="majorHAnsi" w:hAnsiTheme="majorHAnsi" w:cstheme="majorBidi"/>
              </w:rPr>
              <w:t xml:space="preserve"> to </w:t>
            </w:r>
            <w:r w:rsidRPr="56D970F1">
              <w:rPr>
                <w:rFonts w:asciiTheme="majorHAnsi" w:hAnsiTheme="majorHAnsi" w:cstheme="majorBidi"/>
              </w:rPr>
              <w:t>2019)</w:t>
            </w:r>
            <w:r w:rsidR="7ECAB680" w:rsidRPr="56D970F1">
              <w:rPr>
                <w:rFonts w:asciiTheme="majorHAnsi" w:hAnsiTheme="majorHAnsi" w:cstheme="majorBidi"/>
              </w:rPr>
              <w:t xml:space="preserve"> </w:t>
            </w:r>
            <w:r w:rsidR="7ECAB680" w:rsidRPr="56D970F1">
              <w:rPr>
                <w:rFonts w:ascii="Arial" w:eastAsia="Arial" w:hAnsi="Arial" w:cs="Arial"/>
                <w:color w:val="000000"/>
              </w:rPr>
              <w:t>–</w:t>
            </w:r>
            <w:r w:rsidRPr="56D970F1">
              <w:rPr>
                <w:rFonts w:asciiTheme="majorHAnsi" w:hAnsiTheme="majorHAnsi" w:cstheme="majorBidi"/>
              </w:rPr>
              <w:t xml:space="preserve"> Economic Development Committee Chair, North Carolina Military Affairs Commission</w:t>
            </w:r>
            <w:r w:rsidR="00877C4D" w:rsidRPr="56D970F1">
              <w:rPr>
                <w:rFonts w:asciiTheme="majorHAnsi" w:hAnsiTheme="majorHAnsi" w:cstheme="majorBidi"/>
              </w:rPr>
              <w:t>; Major General, United States Airforce (37 years of service)</w:t>
            </w:r>
          </w:p>
        </w:tc>
      </w:tr>
      <w:bookmarkEnd w:id="0"/>
      <w:tr w:rsidR="00F51C16" w:rsidRPr="00F41CDF" w14:paraId="6471AA92" w14:textId="77777777" w:rsidTr="56D970F1">
        <w:tc>
          <w:tcPr>
            <w:tcW w:w="9450" w:type="dxa"/>
            <w:tcBorders>
              <w:top w:val="single" w:sz="2" w:space="0" w:color="auto"/>
              <w:left w:val="single" w:sz="2" w:space="0" w:color="auto"/>
              <w:bottom w:val="single" w:sz="2" w:space="0" w:color="auto"/>
              <w:right w:val="single" w:sz="2" w:space="0" w:color="auto"/>
            </w:tcBorders>
          </w:tcPr>
          <w:p w14:paraId="38AD1E56" w14:textId="6CF6C208" w:rsidR="00F51C16" w:rsidRPr="00BD467A" w:rsidRDefault="00F51C16" w:rsidP="56D970F1">
            <w:pPr>
              <w:contextualSpacing/>
              <w:rPr>
                <w:rFonts w:asciiTheme="majorHAnsi" w:hAnsiTheme="majorHAnsi" w:cstheme="majorBidi"/>
              </w:rPr>
            </w:pPr>
            <w:r w:rsidRPr="56D970F1">
              <w:rPr>
                <w:rFonts w:asciiTheme="majorHAnsi" w:hAnsiTheme="majorHAnsi" w:cstheme="majorBidi"/>
              </w:rPr>
              <w:t>Todd Weiler (</w:t>
            </w:r>
            <w:r w:rsidR="00CF5421" w:rsidRPr="56D970F1">
              <w:rPr>
                <w:rFonts w:asciiTheme="majorHAnsi" w:hAnsiTheme="majorHAnsi" w:cstheme="majorBidi"/>
              </w:rPr>
              <w:t>2016</w:t>
            </w:r>
            <w:r w:rsidR="00840A75" w:rsidRPr="56D970F1">
              <w:rPr>
                <w:rFonts w:asciiTheme="majorHAnsi" w:hAnsiTheme="majorHAnsi" w:cstheme="majorBidi"/>
              </w:rPr>
              <w:t xml:space="preserve"> to </w:t>
            </w:r>
            <w:r w:rsidR="00CF5421" w:rsidRPr="56D970F1">
              <w:rPr>
                <w:rFonts w:asciiTheme="majorHAnsi" w:hAnsiTheme="majorHAnsi" w:cstheme="majorBidi"/>
              </w:rPr>
              <w:t>2017</w:t>
            </w:r>
            <w:r w:rsidRPr="56D970F1">
              <w:rPr>
                <w:rFonts w:asciiTheme="majorHAnsi" w:hAnsiTheme="majorHAnsi" w:cstheme="majorBidi"/>
              </w:rPr>
              <w:t>)</w:t>
            </w:r>
            <w:r w:rsidR="6DE0AF82" w:rsidRPr="56D970F1">
              <w:rPr>
                <w:rFonts w:asciiTheme="majorHAnsi" w:hAnsiTheme="majorHAnsi" w:cstheme="majorBidi"/>
              </w:rPr>
              <w:t xml:space="preserve"> </w:t>
            </w:r>
            <w:r w:rsidR="6DE0AF82" w:rsidRPr="56D970F1">
              <w:rPr>
                <w:rFonts w:ascii="Arial" w:eastAsia="Arial" w:hAnsi="Arial" w:cs="Arial"/>
                <w:color w:val="000000"/>
              </w:rPr>
              <w:t>–</w:t>
            </w:r>
            <w:r w:rsidRPr="56D970F1">
              <w:rPr>
                <w:rFonts w:asciiTheme="majorHAnsi" w:hAnsiTheme="majorHAnsi" w:cstheme="majorBidi"/>
              </w:rPr>
              <w:t xml:space="preserve"> Consultant/President and Chief Executive Officer, One Hemisphere Ventures; Owner and Chief Operating Officer, Arrowpoint Corporation; Deputy Assistant Secretary, Department of the Army</w:t>
            </w:r>
          </w:p>
        </w:tc>
      </w:tr>
      <w:tr w:rsidR="00F51C16" w:rsidRPr="00F41CDF" w14:paraId="41A0766E" w14:textId="77777777" w:rsidTr="56D970F1">
        <w:tc>
          <w:tcPr>
            <w:tcW w:w="9450" w:type="dxa"/>
            <w:tcBorders>
              <w:top w:val="single" w:sz="2" w:space="0" w:color="auto"/>
              <w:left w:val="single" w:sz="2" w:space="0" w:color="auto"/>
              <w:bottom w:val="single" w:sz="2" w:space="0" w:color="auto"/>
              <w:right w:val="single" w:sz="2" w:space="0" w:color="auto"/>
            </w:tcBorders>
          </w:tcPr>
          <w:p w14:paraId="77A9A15D" w14:textId="41F2D102" w:rsidR="00F51C16" w:rsidRPr="00BD467A" w:rsidRDefault="00F51C16" w:rsidP="56D970F1">
            <w:pPr>
              <w:contextualSpacing/>
              <w:rPr>
                <w:rFonts w:asciiTheme="majorHAnsi" w:hAnsiTheme="majorHAnsi" w:cstheme="majorBidi"/>
              </w:rPr>
            </w:pPr>
            <w:r w:rsidRPr="56D970F1">
              <w:rPr>
                <w:rFonts w:asciiTheme="majorHAnsi" w:hAnsiTheme="majorHAnsi" w:cstheme="majorBidi"/>
              </w:rPr>
              <w:t>Richard Wightman Jr. (2014</w:t>
            </w:r>
            <w:r w:rsidR="00840A75" w:rsidRPr="56D970F1">
              <w:rPr>
                <w:rFonts w:asciiTheme="majorHAnsi" w:hAnsiTheme="majorHAnsi" w:cstheme="majorBidi"/>
              </w:rPr>
              <w:t xml:space="preserve"> to </w:t>
            </w:r>
            <w:r w:rsidRPr="56D970F1">
              <w:rPr>
                <w:rFonts w:asciiTheme="majorHAnsi" w:hAnsiTheme="majorHAnsi" w:cstheme="majorBidi"/>
              </w:rPr>
              <w:t>2015)</w:t>
            </w:r>
            <w:r w:rsidR="653BEE1A" w:rsidRPr="56D970F1">
              <w:rPr>
                <w:rFonts w:asciiTheme="majorHAnsi" w:hAnsiTheme="majorHAnsi" w:cstheme="majorBidi"/>
              </w:rPr>
              <w:t xml:space="preserve"> </w:t>
            </w:r>
            <w:r w:rsidR="653BEE1A" w:rsidRPr="56D970F1">
              <w:rPr>
                <w:rFonts w:ascii="Arial" w:eastAsia="Arial" w:hAnsi="Arial" w:cs="Arial"/>
                <w:color w:val="000000"/>
              </w:rPr>
              <w:t>–</w:t>
            </w:r>
            <w:r w:rsidRPr="56D970F1">
              <w:rPr>
                <w:rFonts w:asciiTheme="majorHAnsi" w:hAnsiTheme="majorHAnsi" w:cstheme="majorBidi"/>
              </w:rPr>
              <w:t xml:space="preserve"> Principal Deputy, Assistant Secretary of Defense, Reserve Affairs; Deputy Assistant Secretar</w:t>
            </w:r>
            <w:r w:rsidR="3C4E13B4" w:rsidRPr="56D970F1">
              <w:rPr>
                <w:rFonts w:asciiTheme="majorHAnsi" w:hAnsiTheme="majorHAnsi" w:cstheme="majorBidi"/>
              </w:rPr>
              <w:t>y for</w:t>
            </w:r>
            <w:r w:rsidRPr="56D970F1">
              <w:rPr>
                <w:rFonts w:asciiTheme="majorHAnsi" w:hAnsiTheme="majorHAnsi" w:cstheme="majorBidi"/>
              </w:rPr>
              <w:t xml:space="preserve"> Materiel and Facilities</w:t>
            </w:r>
            <w:r w:rsidR="273C1DC1" w:rsidRPr="56D970F1">
              <w:rPr>
                <w:rFonts w:asciiTheme="majorHAnsi" w:hAnsiTheme="majorHAnsi" w:cstheme="majorBidi"/>
              </w:rPr>
              <w:t>, Department of Defense</w:t>
            </w:r>
            <w:r w:rsidRPr="56D970F1">
              <w:rPr>
                <w:rFonts w:asciiTheme="majorHAnsi" w:hAnsiTheme="majorHAnsi" w:cstheme="majorBidi"/>
              </w:rPr>
              <w:t>; Commanding General, NATO Headquarters, Sarajevo</w:t>
            </w:r>
          </w:p>
        </w:tc>
      </w:tr>
    </w:tbl>
    <w:p w14:paraId="31D1E7FB" w14:textId="77777777" w:rsidR="00AD30BB" w:rsidRPr="000C44F9" w:rsidRDefault="00AD30BB" w:rsidP="00AD30BB">
      <w:pPr>
        <w:pStyle w:val="Heading1"/>
        <w:rPr>
          <w:rFonts w:eastAsia="Times New Roman"/>
          <w:sz w:val="18"/>
          <w:szCs w:val="18"/>
        </w:rPr>
      </w:pPr>
      <w:r w:rsidRPr="000C44F9">
        <w:rPr>
          <w:rFonts w:eastAsia="Times New Roman"/>
          <w:sz w:val="18"/>
          <w:szCs w:val="18"/>
        </w:rPr>
        <w:lastRenderedPageBreak/>
        <w:t>Endnotes</w:t>
      </w:r>
    </w:p>
    <w:p w14:paraId="5CBD64F2" w14:textId="77777777" w:rsidR="00224D1E" w:rsidRPr="000C44F9" w:rsidRDefault="00AD30BB">
      <w:pPr>
        <w:rPr>
          <w:rFonts w:eastAsiaTheme="minorHAnsi"/>
          <w:sz w:val="18"/>
          <w:szCs w:val="18"/>
        </w:rPr>
      </w:pPr>
      <w:r w:rsidRPr="000C44F9">
        <w:rPr>
          <w:rFonts w:ascii="Arial" w:hAnsi="Arial" w:cs="Arial"/>
          <w:sz w:val="18"/>
          <w:szCs w:val="18"/>
        </w:rPr>
        <w:t>This position description was created with the help of Egon Zehnder, a global executive search firm.</w:t>
      </w:r>
    </w:p>
    <w:sectPr w:rsidR="00224D1E" w:rsidRPr="000C44F9" w:rsidSect="001C6049">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288"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3722" w14:textId="77777777" w:rsidR="00EB285E" w:rsidRDefault="00EB285E" w:rsidP="001E22F1">
      <w:r>
        <w:separator/>
      </w:r>
    </w:p>
  </w:endnote>
  <w:endnote w:type="continuationSeparator" w:id="0">
    <w:p w14:paraId="425DF7C2" w14:textId="77777777" w:rsidR="00EB285E" w:rsidRDefault="00EB285E" w:rsidP="001E22F1">
      <w:r>
        <w:continuationSeparator/>
      </w:r>
    </w:p>
  </w:endnote>
  <w:endnote w:id="1">
    <w:p w14:paraId="1B3F921A" w14:textId="6C4DCBAA" w:rsidR="00877C4D" w:rsidRDefault="00877C4D" w:rsidP="00877C4D">
      <w:pPr>
        <w:pStyle w:val="EndnoteText"/>
      </w:pPr>
      <w:r>
        <w:rPr>
          <w:rStyle w:val="EndnoteReference"/>
        </w:rPr>
        <w:endnoteRef/>
      </w:r>
      <w:r>
        <w:t xml:space="preserve"> </w:t>
      </w:r>
      <w:r w:rsidR="00796D76">
        <w:rPr>
          <w:rStyle w:val="normaltextru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796D76">
          <w:rPr>
            <w:rStyle w:val="normaltextrun"/>
            <w:color w:val="005789"/>
          </w:rPr>
          <w:t>here</w:t>
        </w:r>
      </w:hyperlink>
      <w:r w:rsidR="00796D76">
        <w:rPr>
          <w:rStyle w:val="normaltextrun"/>
          <w:color w:val="000000"/>
        </w:rPr>
        <w:t>. If you are selected for this position, please consult the agency’s HR representative for further guidance on compensation.</w:t>
      </w:r>
    </w:p>
    <w:p w14:paraId="1687B860" w14:textId="4EB89BD8" w:rsidR="00DD2766" w:rsidRPr="00AD30BB" w:rsidRDefault="00DD2766" w:rsidP="00AD30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3397" w14:textId="56FDD2DD" w:rsidR="00B30DE2" w:rsidRPr="00877C4D" w:rsidRDefault="00877C4D" w:rsidP="00877C4D">
    <w:pPr>
      <w:pStyle w:val="TGAppendixBodyHeaders"/>
      <w:jc w:val="right"/>
      <w:rPr>
        <w:rFonts w:ascii="Arial" w:hAnsi="Arial" w:cs="Arial"/>
        <w:bCs/>
      </w:rPr>
    </w:pPr>
    <w:r w:rsidRPr="00877C4D">
      <w:rPr>
        <w:rFonts w:ascii="Arial" w:hAnsi="Arial" w:cs="Arial"/>
        <w:bCs/>
      </w:rPr>
      <w:t>presidentialtransition.org.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35B3" w14:textId="5266D6EA" w:rsidR="00B30DE2" w:rsidRPr="00B64A22" w:rsidRDefault="00B30DE2" w:rsidP="00877C4D">
    <w:pPr>
      <w:pStyle w:val="TGAppendixBodyHeaders"/>
      <w:rPr>
        <w:rFonts w:ascii="Arial" w:hAnsi="Arial" w:cs="Arial"/>
        <w:b/>
      </w:rPr>
    </w:pPr>
    <w:r w:rsidRPr="009630CC">
      <w:rPr>
        <w:rFonts w:ascii="Arial" w:hAnsi="Arial"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4808"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A06E" w14:textId="77777777" w:rsidR="00EB285E" w:rsidRDefault="00EB285E" w:rsidP="001E22F1">
      <w:r>
        <w:separator/>
      </w:r>
    </w:p>
  </w:footnote>
  <w:footnote w:type="continuationSeparator" w:id="0">
    <w:p w14:paraId="3AD73293" w14:textId="77777777" w:rsidR="00EB285E" w:rsidRDefault="00EB285E"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4DC3EAC4" w14:paraId="441FBB4F" w14:textId="77777777" w:rsidTr="4DC3EAC4">
      <w:tc>
        <w:tcPr>
          <w:tcW w:w="3215" w:type="dxa"/>
        </w:tcPr>
        <w:p w14:paraId="2A66AF1C" w14:textId="38ED8CAD" w:rsidR="4DC3EAC4" w:rsidRDefault="4DC3EAC4" w:rsidP="4DC3EAC4">
          <w:pPr>
            <w:pStyle w:val="Header"/>
            <w:ind w:left="-115"/>
          </w:pPr>
        </w:p>
      </w:tc>
      <w:tc>
        <w:tcPr>
          <w:tcW w:w="3215" w:type="dxa"/>
        </w:tcPr>
        <w:p w14:paraId="1390FECA" w14:textId="4E648524" w:rsidR="4DC3EAC4" w:rsidRDefault="4DC3EAC4" w:rsidP="4DC3EAC4">
          <w:pPr>
            <w:pStyle w:val="Header"/>
            <w:jc w:val="center"/>
          </w:pPr>
        </w:p>
      </w:tc>
      <w:tc>
        <w:tcPr>
          <w:tcW w:w="3215" w:type="dxa"/>
        </w:tcPr>
        <w:p w14:paraId="19ADE8BC" w14:textId="2678556C" w:rsidR="4DC3EAC4" w:rsidRDefault="4DC3EAC4" w:rsidP="4DC3EAC4">
          <w:pPr>
            <w:pStyle w:val="Header"/>
            <w:ind w:right="-115"/>
            <w:jc w:val="right"/>
          </w:pPr>
        </w:p>
      </w:tc>
    </w:tr>
  </w:tbl>
  <w:p w14:paraId="6094BC19" w14:textId="4490D9DD" w:rsidR="4DC3EAC4" w:rsidRDefault="4DC3EAC4" w:rsidP="4DC3E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E825" w14:textId="77777777"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CACC" w14:textId="2C2D850E" w:rsidR="00B30DE2" w:rsidRPr="004960D6" w:rsidRDefault="45526A66" w:rsidP="00B64A22">
    <w:pPr>
      <w:pStyle w:val="Header"/>
      <w:tabs>
        <w:tab w:val="clear" w:pos="9360"/>
        <w:tab w:val="right" w:pos="8820"/>
      </w:tabs>
      <w:rPr>
        <w:rFonts w:ascii="Arial" w:hAnsi="Arial"/>
        <w:b/>
        <w:sz w:val="16"/>
        <w:szCs w:val="16"/>
      </w:rPr>
    </w:pPr>
    <w:r>
      <w:rPr>
        <w:noProof/>
      </w:rPr>
      <w:drawing>
        <wp:anchor distT="0" distB="0" distL="114300" distR="114300" simplePos="0" relativeHeight="251658240" behindDoc="0" locked="0" layoutInCell="1" allowOverlap="1" wp14:anchorId="73D49087" wp14:editId="410ACEF4">
          <wp:simplePos x="0" y="0"/>
          <wp:positionH relativeFrom="column">
            <wp:posOffset>-281940</wp:posOffset>
          </wp:positionH>
          <wp:positionV relativeFrom="paragraph">
            <wp:posOffset>289560</wp:posOffset>
          </wp:positionV>
          <wp:extent cx="3720677" cy="416374"/>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8"/>
  </w:num>
  <w:num w:numId="5">
    <w:abstractNumId w:val="5"/>
  </w:num>
  <w:num w:numId="6">
    <w:abstractNumId w:val="34"/>
  </w:num>
  <w:num w:numId="7">
    <w:abstractNumId w:val="4"/>
  </w:num>
  <w:num w:numId="8">
    <w:abstractNumId w:val="30"/>
  </w:num>
  <w:num w:numId="9">
    <w:abstractNumId w:val="14"/>
  </w:num>
  <w:num w:numId="10">
    <w:abstractNumId w:val="6"/>
  </w:num>
  <w:num w:numId="11">
    <w:abstractNumId w:val="13"/>
  </w:num>
  <w:num w:numId="12">
    <w:abstractNumId w:val="23"/>
  </w:num>
  <w:num w:numId="13">
    <w:abstractNumId w:val="21"/>
  </w:num>
  <w:num w:numId="14">
    <w:abstractNumId w:val="25"/>
  </w:num>
  <w:num w:numId="15">
    <w:abstractNumId w:val="27"/>
  </w:num>
  <w:num w:numId="16">
    <w:abstractNumId w:val="1"/>
  </w:num>
  <w:num w:numId="17">
    <w:abstractNumId w:val="18"/>
  </w:num>
  <w:num w:numId="18">
    <w:abstractNumId w:val="33"/>
  </w:num>
  <w:num w:numId="19">
    <w:abstractNumId w:val="8"/>
  </w:num>
  <w:num w:numId="20">
    <w:abstractNumId w:val="26"/>
  </w:num>
  <w:num w:numId="21">
    <w:abstractNumId w:val="31"/>
  </w:num>
  <w:num w:numId="22">
    <w:abstractNumId w:val="10"/>
  </w:num>
  <w:num w:numId="23">
    <w:abstractNumId w:val="7"/>
  </w:num>
  <w:num w:numId="24">
    <w:abstractNumId w:val="32"/>
  </w:num>
  <w:num w:numId="25">
    <w:abstractNumId w:val="12"/>
  </w:num>
  <w:num w:numId="26">
    <w:abstractNumId w:val="2"/>
  </w:num>
  <w:num w:numId="27">
    <w:abstractNumId w:val="19"/>
  </w:num>
  <w:num w:numId="28">
    <w:abstractNumId w:val="16"/>
  </w:num>
  <w:num w:numId="29">
    <w:abstractNumId w:val="20"/>
  </w:num>
  <w:num w:numId="30">
    <w:abstractNumId w:val="29"/>
  </w:num>
  <w:num w:numId="31">
    <w:abstractNumId w:val="36"/>
  </w:num>
  <w:num w:numId="32">
    <w:abstractNumId w:val="37"/>
  </w:num>
  <w:num w:numId="33">
    <w:abstractNumId w:val="9"/>
  </w:num>
  <w:num w:numId="34">
    <w:abstractNumId w:val="0"/>
  </w:num>
  <w:num w:numId="35">
    <w:abstractNumId w:val="28"/>
  </w:num>
  <w:num w:numId="36">
    <w:abstractNumId w:val="22"/>
  </w:num>
  <w:num w:numId="37">
    <w:abstractNumId w:val="24"/>
  </w:num>
  <w:num w:numId="38">
    <w:abstractNumId w:val="1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6482"/>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69F"/>
    <w:rsid w:val="00080E76"/>
    <w:rsid w:val="000846D6"/>
    <w:rsid w:val="0008706F"/>
    <w:rsid w:val="00087432"/>
    <w:rsid w:val="00087A28"/>
    <w:rsid w:val="000A0629"/>
    <w:rsid w:val="000A0E94"/>
    <w:rsid w:val="000A35C6"/>
    <w:rsid w:val="000B0938"/>
    <w:rsid w:val="000B0F7D"/>
    <w:rsid w:val="000B3130"/>
    <w:rsid w:val="000B3595"/>
    <w:rsid w:val="000B3BCB"/>
    <w:rsid w:val="000B5E2B"/>
    <w:rsid w:val="000C44F9"/>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875C1"/>
    <w:rsid w:val="001956F0"/>
    <w:rsid w:val="001A3E9A"/>
    <w:rsid w:val="001A636E"/>
    <w:rsid w:val="001B63A1"/>
    <w:rsid w:val="001C0B08"/>
    <w:rsid w:val="001C1577"/>
    <w:rsid w:val="001C2D85"/>
    <w:rsid w:val="001C39AC"/>
    <w:rsid w:val="001C5B3D"/>
    <w:rsid w:val="001C6049"/>
    <w:rsid w:val="001D0348"/>
    <w:rsid w:val="001D36AA"/>
    <w:rsid w:val="001E22F1"/>
    <w:rsid w:val="001E2508"/>
    <w:rsid w:val="001E486F"/>
    <w:rsid w:val="001E5266"/>
    <w:rsid w:val="001F26EA"/>
    <w:rsid w:val="001F4645"/>
    <w:rsid w:val="001F6498"/>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042A"/>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E7FDC"/>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96D76"/>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0A75"/>
    <w:rsid w:val="00843FE7"/>
    <w:rsid w:val="00845BCF"/>
    <w:rsid w:val="008529C3"/>
    <w:rsid w:val="0085653B"/>
    <w:rsid w:val="00860EC5"/>
    <w:rsid w:val="00867383"/>
    <w:rsid w:val="008744A6"/>
    <w:rsid w:val="0087689B"/>
    <w:rsid w:val="00877C4D"/>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0867"/>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30BB"/>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F5421"/>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2000"/>
    <w:rsid w:val="00DB7158"/>
    <w:rsid w:val="00DC0DCD"/>
    <w:rsid w:val="00DC1593"/>
    <w:rsid w:val="00DC4447"/>
    <w:rsid w:val="00DC4641"/>
    <w:rsid w:val="00DC65B3"/>
    <w:rsid w:val="00DD0C75"/>
    <w:rsid w:val="00DD2766"/>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B285E"/>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C16"/>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 w:val="00FD44AE"/>
    <w:rsid w:val="09560827"/>
    <w:rsid w:val="20B6080B"/>
    <w:rsid w:val="273C1DC1"/>
    <w:rsid w:val="3C4E13B4"/>
    <w:rsid w:val="436A4914"/>
    <w:rsid w:val="45526A66"/>
    <w:rsid w:val="4DC3EAC4"/>
    <w:rsid w:val="4DD95FFA"/>
    <w:rsid w:val="517E0B29"/>
    <w:rsid w:val="51B93E66"/>
    <w:rsid w:val="56D970F1"/>
    <w:rsid w:val="653BEE1A"/>
    <w:rsid w:val="6D94508B"/>
    <w:rsid w:val="6DE0AF82"/>
    <w:rsid w:val="7687B4E2"/>
    <w:rsid w:val="7ECAB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D92D01"/>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8069F"/>
  </w:style>
  <w:style w:type="character" w:customStyle="1" w:styleId="eop">
    <w:name w:val="eop"/>
    <w:basedOn w:val="DefaultParagraphFont"/>
    <w:rsid w:val="0008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5302490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775006300">
      <w:bodyDiv w:val="1"/>
      <w:marLeft w:val="0"/>
      <w:marRight w:val="0"/>
      <w:marTop w:val="0"/>
      <w:marBottom w:val="0"/>
      <w:divBdr>
        <w:top w:val="none" w:sz="0" w:space="0" w:color="auto"/>
        <w:left w:val="none" w:sz="0" w:space="0" w:color="auto"/>
        <w:bottom w:val="none" w:sz="0" w:space="0" w:color="auto"/>
        <w:right w:val="none" w:sz="0" w:space="0" w:color="auto"/>
      </w:divBdr>
    </w:div>
    <w:div w:id="1867864578">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23816-8B46-4404-B97C-F42799AF71D2}">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elements/1.1/"/>
    <ds:schemaRef ds:uri="http://purl.org/dc/dcmitype/"/>
    <ds:schemaRef ds:uri="54e98812-b12a-4504-b572-6fcfe8934f27"/>
    <ds:schemaRef ds:uri="b768acbd-dc7f-4a24-9e54-842e75727939"/>
  </ds:schemaRefs>
</ds:datastoreItem>
</file>

<file path=customXml/itemProps2.xml><?xml version="1.0" encoding="utf-8"?>
<ds:datastoreItem xmlns:ds="http://schemas.openxmlformats.org/officeDocument/2006/customXml" ds:itemID="{10368BE1-422A-4AE7-8E2B-29F629974821}">
  <ds:schemaRefs>
    <ds:schemaRef ds:uri="http://schemas.openxmlformats.org/officeDocument/2006/bibliography"/>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733D3308-5548-463C-904C-FACE2EFED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16</cp:revision>
  <cp:lastPrinted>2016-07-12T18:00:00Z</cp:lastPrinted>
  <dcterms:created xsi:type="dcterms:W3CDTF">2017-02-17T18:15:00Z</dcterms:created>
  <dcterms:modified xsi:type="dcterms:W3CDTF">2021-05-03T18:46:00Z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